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horzAnchor="margin" w:tblpXSpec="center" w:tblpY="-502"/>
        <w:tblW w:w="1513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5134"/>
      </w:tblGrid>
      <w:tr w:rsidR="00CA5011" w:rsidRPr="00791165" w:rsidTr="004C691E">
        <w:trPr>
          <w:trHeight w:val="1417"/>
        </w:trPr>
        <w:tc>
          <w:tcPr>
            <w:tcW w:w="15134" w:type="dxa"/>
            <w:hideMark/>
          </w:tcPr>
          <w:p w:rsidR="00270859" w:rsidRPr="004A1058" w:rsidRDefault="00CA5011" w:rsidP="00270859">
            <w:pPr>
              <w:pStyle w:val="ac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3307D8">
              <w:br w:type="page"/>
            </w:r>
            <w:r w:rsidR="00270859" w:rsidRPr="004A1058">
              <w:rPr>
                <w:rFonts w:cs="Times New Roman"/>
                <w:szCs w:val="26"/>
              </w:rPr>
              <w:t xml:space="preserve"> ПРИЛОЖЕНИЕ №</w:t>
            </w:r>
            <w:r w:rsidR="00270859">
              <w:rPr>
                <w:rFonts w:cs="Times New Roman"/>
                <w:szCs w:val="26"/>
              </w:rPr>
              <w:t>16</w:t>
            </w:r>
          </w:p>
          <w:p w:rsidR="00270859" w:rsidRPr="004A1058" w:rsidRDefault="00270859" w:rsidP="00270859">
            <w:pPr>
              <w:pStyle w:val="ac"/>
              <w:spacing w:line="240" w:lineRule="auto"/>
              <w:ind w:firstLine="3297"/>
              <w:jc w:val="right"/>
              <w:rPr>
                <w:rFonts w:cs="Times New Roman"/>
                <w:szCs w:val="26"/>
              </w:rPr>
            </w:pPr>
            <w:r w:rsidRPr="004A1058">
              <w:rPr>
                <w:rFonts w:cs="Times New Roman"/>
                <w:szCs w:val="26"/>
              </w:rPr>
              <w:t>УТВЕРЖДЕНО</w:t>
            </w:r>
          </w:p>
          <w:p w:rsidR="00270859" w:rsidRPr="004A1058" w:rsidRDefault="00270859" w:rsidP="00270859">
            <w:pPr>
              <w:pStyle w:val="ac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 w:rsidRPr="004A1058"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 xml:space="preserve">Приказом </w:t>
            </w:r>
          </w:p>
          <w:p w:rsidR="00270859" w:rsidRPr="004A1058" w:rsidRDefault="00270859" w:rsidP="00270859">
            <w:pPr>
              <w:pStyle w:val="ac"/>
              <w:spacing w:line="240" w:lineRule="auto"/>
              <w:ind w:firstLine="3297"/>
              <w:jc w:val="right"/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</w:pPr>
            <w:r>
              <w:rPr>
                <w:rFonts w:eastAsia="Times New Roman" w:cs="Times New Roman"/>
                <w:b w:val="0"/>
                <w:bCs/>
                <w:color w:val="000000" w:themeColor="text1"/>
                <w:szCs w:val="26"/>
                <w:lang w:eastAsia="ru-RU"/>
              </w:rPr>
              <w:t>МОУ СОШ №8</w:t>
            </w:r>
          </w:p>
          <w:p w:rsidR="00270859" w:rsidRPr="004A1058" w:rsidRDefault="00270859" w:rsidP="00270859">
            <w:pPr>
              <w:pStyle w:val="ac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«О вводе в действие комплекта организационно-распорядительной документации по организации обработки и защиты персональных данных»</w:t>
            </w:r>
          </w:p>
          <w:p w:rsidR="00270859" w:rsidRPr="00B24F66" w:rsidRDefault="00270859" w:rsidP="00270859">
            <w:pPr>
              <w:pStyle w:val="ac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B24F66">
              <w:rPr>
                <w:rFonts w:cs="Times New Roman"/>
                <w:b w:val="0"/>
                <w:bCs/>
                <w:szCs w:val="26"/>
              </w:rPr>
              <w:t>Директор</w:t>
            </w:r>
          </w:p>
          <w:p w:rsidR="00270859" w:rsidRPr="00B24F66" w:rsidRDefault="00270859" w:rsidP="00270859">
            <w:pPr>
              <w:pStyle w:val="ac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B24F66">
              <w:rPr>
                <w:rFonts w:cs="Times New Roman"/>
                <w:b w:val="0"/>
                <w:bCs/>
                <w:szCs w:val="26"/>
              </w:rPr>
              <w:t>Рябов Александр Николаевич</w:t>
            </w:r>
          </w:p>
          <w:p w:rsidR="00270859" w:rsidRPr="004A1058" w:rsidRDefault="00270859" w:rsidP="00270859">
            <w:pPr>
              <w:pStyle w:val="ac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</w:rPr>
            </w:pPr>
            <w:r w:rsidRPr="004A1058">
              <w:rPr>
                <w:rFonts w:cs="Times New Roman"/>
                <w:b w:val="0"/>
                <w:bCs/>
                <w:szCs w:val="26"/>
              </w:rPr>
              <w:t>____________________</w:t>
            </w:r>
          </w:p>
          <w:p w:rsidR="00270859" w:rsidRPr="004A1058" w:rsidRDefault="00270859" w:rsidP="00270859">
            <w:pPr>
              <w:pStyle w:val="ac"/>
              <w:spacing w:line="240" w:lineRule="auto"/>
              <w:ind w:firstLine="3297"/>
              <w:jc w:val="right"/>
              <w:rPr>
                <w:rFonts w:cs="Times New Roman"/>
                <w:b w:val="0"/>
                <w:bCs/>
                <w:szCs w:val="26"/>
                <w:vertAlign w:val="superscript"/>
              </w:rPr>
            </w:pPr>
            <w:r w:rsidRPr="004A1058">
              <w:rPr>
                <w:rFonts w:cs="Times New Roman"/>
                <w:b w:val="0"/>
                <w:bCs/>
                <w:szCs w:val="26"/>
                <w:vertAlign w:val="superscript"/>
              </w:rPr>
              <w:t xml:space="preserve">           (подпись, печать)</w:t>
            </w:r>
          </w:p>
          <w:p w:rsidR="00CA5011" w:rsidRPr="003307D8" w:rsidRDefault="00B24F66" w:rsidP="004C691E">
            <w:pPr>
              <w:ind w:left="360"/>
              <w:jc w:val="right"/>
              <w:rPr>
                <w:rFonts w:ascii="Times New Roman" w:hAnsi="Times New Roman"/>
                <w:b/>
                <w:sz w:val="24"/>
              </w:rPr>
            </w:pPr>
            <w:r>
              <w:rPr>
                <w:rFonts w:cs="Times New Roman"/>
                <w:bCs/>
                <w:szCs w:val="26"/>
              </w:rPr>
              <w:t xml:space="preserve"> « 21 » июня </w:t>
            </w:r>
            <w:r w:rsidR="00270859" w:rsidRPr="004A1058">
              <w:rPr>
                <w:rFonts w:cs="Times New Roman"/>
                <w:bCs/>
                <w:szCs w:val="26"/>
              </w:rPr>
              <w:t xml:space="preserve"> </w:t>
            </w:r>
            <w:r w:rsidR="00270859">
              <w:rPr>
                <w:rFonts w:cs="Times New Roman"/>
                <w:bCs/>
                <w:szCs w:val="26"/>
              </w:rPr>
              <w:t>2024</w:t>
            </w:r>
            <w:r w:rsidR="00270859" w:rsidRPr="004A1058">
              <w:rPr>
                <w:rFonts w:cs="Times New Roman"/>
                <w:bCs/>
                <w:szCs w:val="26"/>
              </w:rPr>
              <w:t xml:space="preserve"> г.</w:t>
            </w:r>
          </w:p>
          <w:p w:rsidR="00CA5011" w:rsidRPr="00B61BDF" w:rsidRDefault="00CA5011" w:rsidP="004C691E">
            <w:pPr>
              <w:ind w:left="357"/>
              <w:contextualSpacing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B61BDF">
              <w:rPr>
                <w:rFonts w:ascii="Times New Roman" w:hAnsi="Times New Roman" w:cs="Times New Roman"/>
                <w:b/>
                <w:sz w:val="26"/>
                <w:szCs w:val="26"/>
              </w:rPr>
              <w:t>Технологический процесс</w:t>
            </w:r>
          </w:p>
          <w:p w:rsidR="00270859" w:rsidRPr="00270859" w:rsidRDefault="00CA5011" w:rsidP="00270859">
            <w:pPr>
              <w:ind w:left="357"/>
              <w:contextualSpacing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B61BDF">
              <w:rPr>
                <w:rFonts w:ascii="Times New Roman" w:hAnsi="Times New Roman" w:cs="Times New Roman"/>
                <w:sz w:val="26"/>
                <w:szCs w:val="26"/>
              </w:rPr>
              <w:t xml:space="preserve"> обработки и защиты персональных данных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B61BDF">
              <w:rPr>
                <w:rFonts w:ascii="Times New Roman" w:hAnsi="Times New Roman" w:cs="Times New Roman"/>
                <w:sz w:val="26"/>
                <w:szCs w:val="26"/>
              </w:rPr>
              <w:t>в информационных системах персональных данных</w:t>
            </w:r>
          </w:p>
        </w:tc>
      </w:tr>
    </w:tbl>
    <w:tbl>
      <w:tblPr>
        <w:tblStyle w:val="a3"/>
        <w:tblW w:w="15310" w:type="dxa"/>
        <w:tblInd w:w="-318" w:type="dxa"/>
        <w:tblLayout w:type="fixed"/>
        <w:tblLook w:val="04A0"/>
      </w:tblPr>
      <w:tblGrid>
        <w:gridCol w:w="455"/>
        <w:gridCol w:w="3402"/>
        <w:gridCol w:w="2835"/>
        <w:gridCol w:w="3090"/>
        <w:gridCol w:w="3260"/>
        <w:gridCol w:w="2268"/>
      </w:tblGrid>
      <w:tr w:rsidR="00CA5011" w:rsidRPr="00791165" w:rsidTr="00766EB0">
        <w:trPr>
          <w:trHeight w:val="752"/>
        </w:trPr>
        <w:tc>
          <w:tcPr>
            <w:tcW w:w="455" w:type="dxa"/>
            <w:shd w:val="clear" w:color="auto" w:fill="F2F2F2" w:themeFill="background1" w:themeFillShade="F2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№</w:t>
            </w:r>
          </w:p>
        </w:tc>
        <w:tc>
          <w:tcPr>
            <w:tcW w:w="3402" w:type="dxa"/>
            <w:shd w:val="clear" w:color="auto" w:fill="F2F2F2" w:themeFill="background1" w:themeFillShade="F2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Укрупненная базовая процедура (операция)</w:t>
            </w:r>
          </w:p>
        </w:tc>
        <w:tc>
          <w:tcPr>
            <w:tcW w:w="2835" w:type="dxa"/>
            <w:shd w:val="clear" w:color="auto" w:fill="F2F2F2" w:themeFill="background1" w:themeFillShade="F2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Цель</w:t>
            </w:r>
          </w:p>
        </w:tc>
        <w:tc>
          <w:tcPr>
            <w:tcW w:w="3090" w:type="dxa"/>
            <w:shd w:val="clear" w:color="auto" w:fill="F2F2F2" w:themeFill="background1" w:themeFillShade="F2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Порядок проведения операции (Приложение к Приказу об утверждении комплекта ОРД)</w:t>
            </w:r>
          </w:p>
        </w:tc>
        <w:tc>
          <w:tcPr>
            <w:tcW w:w="3260" w:type="dxa"/>
            <w:shd w:val="clear" w:color="auto" w:fill="F2F2F2" w:themeFill="background1" w:themeFillShade="F2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Условие выполнения операции</w:t>
            </w:r>
          </w:p>
        </w:tc>
        <w:tc>
          <w:tcPr>
            <w:tcW w:w="2268" w:type="dxa"/>
            <w:shd w:val="clear" w:color="auto" w:fill="F2F2F2" w:themeFill="background1" w:themeFillShade="F2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Исполнитель</w:t>
            </w:r>
          </w:p>
        </w:tc>
      </w:tr>
      <w:tr w:rsidR="00CA5011" w:rsidRPr="00791165" w:rsidTr="00766EB0">
        <w:trPr>
          <w:trHeight w:val="752"/>
        </w:trPr>
        <w:tc>
          <w:tcPr>
            <w:tcW w:w="455" w:type="dxa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1</w:t>
            </w:r>
          </w:p>
        </w:tc>
        <w:tc>
          <w:tcPr>
            <w:tcW w:w="3402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Обработка ПДн</w:t>
            </w:r>
          </w:p>
        </w:tc>
        <w:tc>
          <w:tcPr>
            <w:tcW w:w="2835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См. приложение № 1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 «Правила обработки персональных данных»</w:t>
            </w:r>
          </w:p>
        </w:tc>
        <w:tc>
          <w:tcPr>
            <w:tcW w:w="309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Приложение № 1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 «Правила обработки персональных данных»</w:t>
            </w:r>
          </w:p>
        </w:tc>
        <w:tc>
          <w:tcPr>
            <w:tcW w:w="326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После входа пользователя в ИСПДн и до выхода из ИСПДн</w:t>
            </w:r>
          </w:p>
        </w:tc>
        <w:tc>
          <w:tcPr>
            <w:tcW w:w="2268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Пользователи </w:t>
            </w:r>
          </w:p>
        </w:tc>
      </w:tr>
      <w:tr w:rsidR="00CA5011" w:rsidRPr="00791165" w:rsidTr="00766EB0">
        <w:trPr>
          <w:trHeight w:val="752"/>
        </w:trPr>
        <w:tc>
          <w:tcPr>
            <w:tcW w:w="455" w:type="dxa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2</w:t>
            </w:r>
          </w:p>
        </w:tc>
        <w:tc>
          <w:tcPr>
            <w:tcW w:w="3402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Взаимодействие с субъектами ПДн</w:t>
            </w:r>
          </w:p>
        </w:tc>
        <w:tc>
          <w:tcPr>
            <w:tcW w:w="2835" w:type="dxa"/>
            <w:vAlign w:val="center"/>
          </w:tcPr>
          <w:p w:rsidR="00CA5011" w:rsidRPr="00791165" w:rsidRDefault="00CA5011" w:rsidP="003307D8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Соблюдение требований законодательства </w:t>
            </w:r>
            <w:r w:rsidR="003307D8">
              <w:rPr>
                <w:rFonts w:ascii="TimesNewRoman" w:hAnsi="TimesNewRoman" w:cs="Times New Roman"/>
                <w:sz w:val="20"/>
                <w:szCs w:val="20"/>
              </w:rPr>
              <w:t xml:space="preserve">РФ 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>в области обработки ПДн</w:t>
            </w:r>
          </w:p>
        </w:tc>
        <w:tc>
          <w:tcPr>
            <w:tcW w:w="309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ascii="TimesNewRoman" w:hAnsi="TimesNewRoman" w:cs="Times New Roman"/>
                <w:sz w:val="20"/>
                <w:szCs w:val="20"/>
              </w:rPr>
              <w:t>2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 «Правила</w:t>
            </w:r>
            <w:r w:rsidRPr="00791165">
              <w:rPr>
                <w:rFonts w:ascii="TimesNewRoman" w:hAnsi="TimesNewRoman" w:cs="Times New Roman"/>
                <w:b/>
                <w:sz w:val="20"/>
                <w:szCs w:val="20"/>
              </w:rPr>
              <w:t xml:space="preserve"> 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>рассмотрения запросов субъектов персональных данных»</w:t>
            </w:r>
          </w:p>
        </w:tc>
        <w:tc>
          <w:tcPr>
            <w:tcW w:w="326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При обращении субъектов и при необходимости.</w:t>
            </w:r>
          </w:p>
        </w:tc>
        <w:tc>
          <w:tcPr>
            <w:tcW w:w="2268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Ответственный за организацию обработки ПДн, пользователи </w:t>
            </w:r>
          </w:p>
        </w:tc>
      </w:tr>
      <w:tr w:rsidR="00CA5011" w:rsidRPr="00791165" w:rsidTr="00766EB0">
        <w:trPr>
          <w:trHeight w:val="752"/>
        </w:trPr>
        <w:tc>
          <w:tcPr>
            <w:tcW w:w="455" w:type="dxa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3</w:t>
            </w:r>
          </w:p>
        </w:tc>
        <w:tc>
          <w:tcPr>
            <w:tcW w:w="3402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Проверка соответствия обработки ПДн требованиям законодательства в области обработки ПДн и защиты информации.</w:t>
            </w:r>
          </w:p>
        </w:tc>
        <w:tc>
          <w:tcPr>
            <w:tcW w:w="2835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Соблюдение требований законодательства РФ в области обработки ПДн и защиты информации</w:t>
            </w:r>
          </w:p>
        </w:tc>
        <w:tc>
          <w:tcPr>
            <w:tcW w:w="309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>
              <w:rPr>
                <w:rFonts w:ascii="TimesNewRoman" w:hAnsi="TimesNewRoman" w:cs="Times New Roman"/>
                <w:sz w:val="20"/>
                <w:szCs w:val="20"/>
              </w:rPr>
              <w:t>Приложение № 3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 «Правила осуществления внутреннего контроля обработки персональных данных на соответствие требованиям к их защите»</w:t>
            </w:r>
          </w:p>
        </w:tc>
        <w:tc>
          <w:tcPr>
            <w:tcW w:w="326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Периодически не реже 1 раза в год</w:t>
            </w:r>
          </w:p>
        </w:tc>
        <w:tc>
          <w:tcPr>
            <w:tcW w:w="2268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Ответственный за организацию обработки ПДн, администратор безопасности.</w:t>
            </w:r>
          </w:p>
        </w:tc>
      </w:tr>
      <w:tr w:rsidR="00CA5011" w:rsidRPr="00791165" w:rsidTr="00766EB0">
        <w:trPr>
          <w:trHeight w:val="752"/>
        </w:trPr>
        <w:tc>
          <w:tcPr>
            <w:tcW w:w="455" w:type="dxa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4</w:t>
            </w:r>
          </w:p>
        </w:tc>
        <w:tc>
          <w:tcPr>
            <w:tcW w:w="3402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Взаимодействие с уполномоченным органом по защите прав субъектов ПДн</w:t>
            </w:r>
          </w:p>
        </w:tc>
        <w:tc>
          <w:tcPr>
            <w:tcW w:w="2835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Соблюдение требований законодательства РФ в области обработки ПДн и защиты информации</w:t>
            </w:r>
          </w:p>
        </w:tc>
        <w:tc>
          <w:tcPr>
            <w:tcW w:w="309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Приложение № </w:t>
            </w:r>
            <w:r>
              <w:rPr>
                <w:rFonts w:ascii="TimesNewRoman" w:hAnsi="TimesNewRoman" w:cs="Times New Roman"/>
                <w:sz w:val="20"/>
                <w:szCs w:val="20"/>
              </w:rPr>
              <w:t>6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 «Инструкция</w:t>
            </w:r>
            <w:r w:rsidRPr="00791165">
              <w:rPr>
                <w:rFonts w:ascii="TimesNewRoman" w:hAnsi="TimesNewRoman" w:cs="Times New Roman"/>
                <w:b/>
                <w:sz w:val="20"/>
                <w:szCs w:val="20"/>
              </w:rPr>
              <w:t xml:space="preserve"> 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>о порядке взаимодействия с уполномоченным органом по защите прав субъектов ПДн»</w:t>
            </w:r>
          </w:p>
        </w:tc>
        <w:tc>
          <w:tcPr>
            <w:tcW w:w="326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При начале обработки ПДн, при обращении уполномоченного органа, при смене реквизитов, при проверках исполнительным 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lastRenderedPageBreak/>
              <w:t>органом.</w:t>
            </w:r>
          </w:p>
        </w:tc>
        <w:tc>
          <w:tcPr>
            <w:tcW w:w="2268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lastRenderedPageBreak/>
              <w:t>Ответственный за организацию обработки ПДн</w:t>
            </w:r>
          </w:p>
        </w:tc>
      </w:tr>
      <w:tr w:rsidR="00CA5011" w:rsidRPr="00791165" w:rsidTr="00766EB0">
        <w:trPr>
          <w:trHeight w:val="752"/>
        </w:trPr>
        <w:tc>
          <w:tcPr>
            <w:tcW w:w="455" w:type="dxa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lastRenderedPageBreak/>
              <w:t>5</w:t>
            </w:r>
          </w:p>
        </w:tc>
        <w:tc>
          <w:tcPr>
            <w:tcW w:w="3402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Авторизация пользователей и устройств</w:t>
            </w:r>
          </w:p>
        </w:tc>
        <w:tc>
          <w:tcPr>
            <w:tcW w:w="2835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Устранение угрозы несанкционированного доступа к ПДн</w:t>
            </w:r>
          </w:p>
        </w:tc>
        <w:tc>
          <w:tcPr>
            <w:tcW w:w="309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Приложение № 9 «Инструкция</w:t>
            </w:r>
            <w:r w:rsidRPr="00791165">
              <w:rPr>
                <w:rFonts w:ascii="TimesNewRoman" w:hAnsi="TimesNewRoman" w:cs="Times New Roman"/>
                <w:b/>
                <w:sz w:val="20"/>
                <w:szCs w:val="20"/>
              </w:rPr>
              <w:t xml:space="preserve"> 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>по идентификации и аутентификации»</w:t>
            </w:r>
          </w:p>
        </w:tc>
        <w:tc>
          <w:tcPr>
            <w:tcW w:w="326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При каждом входе в ИСПДн</w:t>
            </w:r>
          </w:p>
        </w:tc>
        <w:tc>
          <w:tcPr>
            <w:tcW w:w="2268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Администратор безопасности, пользователи </w:t>
            </w:r>
          </w:p>
        </w:tc>
      </w:tr>
      <w:tr w:rsidR="00CA5011" w:rsidRPr="00791165" w:rsidTr="00766EB0">
        <w:trPr>
          <w:trHeight w:val="752"/>
        </w:trPr>
        <w:tc>
          <w:tcPr>
            <w:tcW w:w="455" w:type="dxa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6</w:t>
            </w:r>
          </w:p>
        </w:tc>
        <w:tc>
          <w:tcPr>
            <w:tcW w:w="3402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Предоставление доступа пользователей к персональным данным</w:t>
            </w:r>
          </w:p>
        </w:tc>
        <w:tc>
          <w:tcPr>
            <w:tcW w:w="2835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Устранение угрозы несанкционированного доступа к ПДн</w:t>
            </w:r>
          </w:p>
        </w:tc>
        <w:tc>
          <w:tcPr>
            <w:tcW w:w="309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Приложение № 10 «Инструкция</w:t>
            </w:r>
            <w:r w:rsidRPr="00791165">
              <w:rPr>
                <w:rFonts w:ascii="TimesNewRoman" w:hAnsi="TimesNewRoman" w:cs="Times New Roman"/>
                <w:b/>
                <w:sz w:val="20"/>
                <w:szCs w:val="20"/>
              </w:rPr>
              <w:t xml:space="preserve"> 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>по управлению доступом к персональным данным»</w:t>
            </w:r>
          </w:p>
        </w:tc>
        <w:tc>
          <w:tcPr>
            <w:tcW w:w="326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Периодически, не реже 1 раза в месяц, при кадровых изменениях, по результатам расследования инцидентов</w:t>
            </w:r>
          </w:p>
        </w:tc>
        <w:tc>
          <w:tcPr>
            <w:tcW w:w="2268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Администратор безопасности.</w:t>
            </w:r>
          </w:p>
        </w:tc>
      </w:tr>
      <w:tr w:rsidR="00CA5011" w:rsidRPr="00791165" w:rsidTr="00766EB0">
        <w:trPr>
          <w:trHeight w:val="752"/>
        </w:trPr>
        <w:tc>
          <w:tcPr>
            <w:tcW w:w="455" w:type="dxa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7</w:t>
            </w:r>
          </w:p>
        </w:tc>
        <w:tc>
          <w:tcPr>
            <w:tcW w:w="3402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Регистрация</w:t>
            </w:r>
            <w:r w:rsidRPr="00791165">
              <w:rPr>
                <w:rFonts w:ascii="TimesNewRoman" w:hAnsi="TimesNewRoman" w:cs="Times New Roman"/>
                <w:b/>
                <w:sz w:val="20"/>
                <w:szCs w:val="20"/>
              </w:rPr>
              <w:t xml:space="preserve"> 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>событий информационной безопасности.</w:t>
            </w:r>
          </w:p>
        </w:tc>
        <w:tc>
          <w:tcPr>
            <w:tcW w:w="2835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Обнаружение моментов начала реализации угроз информационной безопасности. Устранение последствий и причин реализованных угроз. </w:t>
            </w:r>
          </w:p>
        </w:tc>
        <w:tc>
          <w:tcPr>
            <w:tcW w:w="309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Приложение № 12 «Инструкция</w:t>
            </w:r>
            <w:r w:rsidRPr="00791165">
              <w:rPr>
                <w:rFonts w:ascii="TimesNewRoman" w:hAnsi="TimesNewRoman" w:cs="Times New Roman"/>
                <w:b/>
                <w:sz w:val="20"/>
                <w:szCs w:val="20"/>
              </w:rPr>
              <w:t xml:space="preserve"> 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>по управлению событиями информационной безопасности»</w:t>
            </w:r>
          </w:p>
        </w:tc>
        <w:tc>
          <w:tcPr>
            <w:tcW w:w="326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Автоматически в электронном журнале событий безопасности, по мере возникновения нерегистрируемых событий, просмотр периодически, не реже 1 раза в неделю.</w:t>
            </w:r>
          </w:p>
        </w:tc>
        <w:tc>
          <w:tcPr>
            <w:tcW w:w="2268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Администратор безопасности.</w:t>
            </w:r>
          </w:p>
        </w:tc>
      </w:tr>
      <w:tr w:rsidR="00CA5011" w:rsidRPr="00791165" w:rsidTr="00766EB0">
        <w:trPr>
          <w:trHeight w:val="752"/>
        </w:trPr>
        <w:tc>
          <w:tcPr>
            <w:tcW w:w="455" w:type="dxa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8</w:t>
            </w:r>
          </w:p>
        </w:tc>
        <w:tc>
          <w:tcPr>
            <w:tcW w:w="3402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Обнаружение и предотвращение вирусных атак.</w:t>
            </w:r>
          </w:p>
        </w:tc>
        <w:tc>
          <w:tcPr>
            <w:tcW w:w="2835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Ликвидация угроз несанкционированного доступа, целостности и доступности ПДн.</w:t>
            </w:r>
          </w:p>
        </w:tc>
        <w:tc>
          <w:tcPr>
            <w:tcW w:w="309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Приложение № 13 «Инструкция по антивирусной защите»</w:t>
            </w:r>
          </w:p>
        </w:tc>
        <w:tc>
          <w:tcPr>
            <w:tcW w:w="326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Автоматически, постоянно в течени</w:t>
            </w:r>
            <w:r w:rsidR="007A451F">
              <w:rPr>
                <w:rFonts w:cs="Times New Roman"/>
                <w:sz w:val="20"/>
                <w:szCs w:val="20"/>
              </w:rPr>
              <w:t>е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 сеансов работы в ИСПДн, принудительная проверка не реже 1 раза в неделю или при подозрении на заражение, автоматическое обновление не реже </w:t>
            </w:r>
            <w:r w:rsidR="007A451F">
              <w:rPr>
                <w:rFonts w:cs="Times New Roman"/>
                <w:sz w:val="20"/>
                <w:szCs w:val="20"/>
              </w:rPr>
              <w:t>1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 раза в сутки.</w:t>
            </w:r>
          </w:p>
        </w:tc>
        <w:tc>
          <w:tcPr>
            <w:tcW w:w="2268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Администратор безопасности, пользователи </w:t>
            </w:r>
          </w:p>
        </w:tc>
      </w:tr>
      <w:tr w:rsidR="00CA5011" w:rsidRPr="00791165" w:rsidTr="00766EB0">
        <w:trPr>
          <w:trHeight w:val="752"/>
        </w:trPr>
        <w:tc>
          <w:tcPr>
            <w:tcW w:w="455" w:type="dxa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9</w:t>
            </w:r>
          </w:p>
        </w:tc>
        <w:tc>
          <w:tcPr>
            <w:tcW w:w="3402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Проверка защищенности персональных данных.</w:t>
            </w:r>
          </w:p>
        </w:tc>
        <w:tc>
          <w:tcPr>
            <w:tcW w:w="2835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Обнаружение уязвимостей системы защиты персональных данных</w:t>
            </w:r>
          </w:p>
        </w:tc>
        <w:tc>
          <w:tcPr>
            <w:tcW w:w="309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Приложение № 14 «Инструкция</w:t>
            </w:r>
            <w:r w:rsidRPr="00791165">
              <w:rPr>
                <w:rFonts w:ascii="TimesNewRoman" w:hAnsi="TimesNewRoman" w:cs="Times New Roman"/>
                <w:b/>
                <w:sz w:val="20"/>
                <w:szCs w:val="20"/>
              </w:rPr>
              <w:t xml:space="preserve"> 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 xml:space="preserve">по контролю </w:t>
            </w:r>
            <w:r>
              <w:rPr>
                <w:rFonts w:ascii="TimesNewRoman" w:hAnsi="TimesNewRoman" w:cs="Times New Roman"/>
                <w:sz w:val="20"/>
                <w:szCs w:val="20"/>
              </w:rPr>
              <w:t xml:space="preserve">(анализу) 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>защищенности персональных данных»</w:t>
            </w:r>
          </w:p>
        </w:tc>
        <w:tc>
          <w:tcPr>
            <w:tcW w:w="326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Периодически не реже 1 раза в год или по необходимости</w:t>
            </w:r>
          </w:p>
        </w:tc>
        <w:tc>
          <w:tcPr>
            <w:tcW w:w="2268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Ответственный за организацию обработки ПДн, администратор безопасности.</w:t>
            </w:r>
          </w:p>
        </w:tc>
      </w:tr>
      <w:tr w:rsidR="00CA5011" w:rsidRPr="00791165" w:rsidTr="00766EB0">
        <w:trPr>
          <w:trHeight w:val="752"/>
        </w:trPr>
        <w:tc>
          <w:tcPr>
            <w:tcW w:w="455" w:type="dxa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10</w:t>
            </w:r>
          </w:p>
        </w:tc>
        <w:tc>
          <w:tcPr>
            <w:tcW w:w="3402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Установка и техническое обслуживание</w:t>
            </w:r>
            <w:r w:rsidRPr="00791165">
              <w:rPr>
                <w:rFonts w:ascii="TimesNewRoman" w:hAnsi="TimesNewRoman" w:cs="Times New Roman"/>
                <w:b/>
                <w:sz w:val="20"/>
                <w:szCs w:val="20"/>
              </w:rPr>
              <w:t xml:space="preserve"> </w:t>
            </w:r>
            <w:r w:rsidRPr="00791165">
              <w:rPr>
                <w:rFonts w:ascii="TimesNewRoman" w:hAnsi="TimesNewRoman" w:cs="Times New Roman"/>
                <w:sz w:val="20"/>
                <w:szCs w:val="20"/>
              </w:rPr>
              <w:t>оборудования и программного обеспечения ИСПДн и системы защиты информации</w:t>
            </w:r>
          </w:p>
        </w:tc>
        <w:tc>
          <w:tcPr>
            <w:tcW w:w="2835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Предотвращение возникновения уязвимостей технических средств ИСПДн и системы защиты информации</w:t>
            </w:r>
          </w:p>
        </w:tc>
        <w:tc>
          <w:tcPr>
            <w:tcW w:w="309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Приложение № 15 «Инструкция по защите технических средств информационной системы персональных данных»</w:t>
            </w:r>
          </w:p>
        </w:tc>
        <w:tc>
          <w:tcPr>
            <w:tcW w:w="326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При установке, ремонте, настройке и замене оборудования и программного обеспечения ИСПДн и системы защиты информации</w:t>
            </w:r>
          </w:p>
        </w:tc>
        <w:tc>
          <w:tcPr>
            <w:tcW w:w="2268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Администратор безопасности.</w:t>
            </w:r>
          </w:p>
        </w:tc>
      </w:tr>
      <w:tr w:rsidR="00CA5011" w:rsidRPr="00791165" w:rsidTr="00766EB0">
        <w:trPr>
          <w:trHeight w:val="752"/>
        </w:trPr>
        <w:tc>
          <w:tcPr>
            <w:tcW w:w="455" w:type="dxa"/>
            <w:vAlign w:val="center"/>
          </w:tcPr>
          <w:p w:rsidR="00CA5011" w:rsidRPr="00791165" w:rsidRDefault="00CA5011" w:rsidP="004C691E">
            <w:pPr>
              <w:contextualSpacing/>
              <w:jc w:val="center"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11</w:t>
            </w:r>
          </w:p>
        </w:tc>
        <w:tc>
          <w:tcPr>
            <w:tcW w:w="3402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Учет и обращение машинных носителей информации</w:t>
            </w:r>
          </w:p>
        </w:tc>
        <w:tc>
          <w:tcPr>
            <w:tcW w:w="2835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Устранение угроз НСД к ПДн, хранящимся на машинных носителях информации.</w:t>
            </w:r>
          </w:p>
        </w:tc>
        <w:tc>
          <w:tcPr>
            <w:tcW w:w="309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Приложение № 11 «Инструкция по защите машинных носителей персональных данных»</w:t>
            </w:r>
          </w:p>
        </w:tc>
        <w:tc>
          <w:tcPr>
            <w:tcW w:w="3260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Постоянно по мере установки, замены, передачи/приема, ремонта, уничтожения носителей.</w:t>
            </w:r>
          </w:p>
        </w:tc>
        <w:tc>
          <w:tcPr>
            <w:tcW w:w="2268" w:type="dxa"/>
            <w:vAlign w:val="center"/>
          </w:tcPr>
          <w:p w:rsidR="00CA5011" w:rsidRPr="00791165" w:rsidRDefault="00CA5011" w:rsidP="004C691E">
            <w:pPr>
              <w:contextualSpacing/>
              <w:rPr>
                <w:rFonts w:ascii="TimesNewRoman" w:hAnsi="TimesNewRoman" w:cs="Times New Roman"/>
                <w:sz w:val="20"/>
                <w:szCs w:val="20"/>
              </w:rPr>
            </w:pPr>
            <w:r w:rsidRPr="00791165">
              <w:rPr>
                <w:rFonts w:ascii="TimesNewRoman" w:hAnsi="TimesNewRoman" w:cs="Times New Roman"/>
                <w:sz w:val="20"/>
                <w:szCs w:val="20"/>
              </w:rPr>
              <w:t>Администратор безопасности, пользователи</w:t>
            </w:r>
          </w:p>
        </w:tc>
      </w:tr>
    </w:tbl>
    <w:p w:rsidR="00E10A95" w:rsidRDefault="00E10A95" w:rsidP="008A60E2"/>
    <w:sectPr w:rsidR="00E10A95" w:rsidSect="00FC38B0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7AB" w:rsidRDefault="00A047AB">
      <w:pPr>
        <w:spacing w:after="0" w:line="240" w:lineRule="auto"/>
      </w:pPr>
      <w:r>
        <w:separator/>
      </w:r>
    </w:p>
  </w:endnote>
  <w:endnote w:type="continuationSeparator" w:id="0">
    <w:p w:rsidR="00A047AB" w:rsidRDefault="00A047AB">
      <w:pPr>
        <w:spacing w:after="0" w:line="240" w:lineRule="auto"/>
      </w:pPr>
      <w:r>
        <w:continuationSeparator/>
      </w:r>
    </w:p>
  </w:endnote>
  <w:endnote w:type="continuationNotice" w:id="1">
    <w:p w:rsidR="00A047AB" w:rsidRDefault="00A047AB">
      <w:pPr>
        <w:spacing w:after="0" w:line="240" w:lineRule="auto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258" w:rsidRDefault="00E72258">
    <w:pPr>
      <w:pStyle w:val="a7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258" w:rsidRDefault="00E72258">
    <w:pPr>
      <w:pStyle w:val="a7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258" w:rsidRDefault="00E72258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7AB" w:rsidRDefault="00A047AB">
      <w:pPr>
        <w:spacing w:after="0" w:line="240" w:lineRule="auto"/>
      </w:pPr>
      <w:r>
        <w:separator/>
      </w:r>
    </w:p>
  </w:footnote>
  <w:footnote w:type="continuationSeparator" w:id="0">
    <w:p w:rsidR="00A047AB" w:rsidRDefault="00A047AB">
      <w:pPr>
        <w:spacing w:after="0" w:line="240" w:lineRule="auto"/>
      </w:pPr>
      <w:r>
        <w:continuationSeparator/>
      </w:r>
    </w:p>
  </w:footnote>
  <w:footnote w:type="continuationNotice" w:id="1">
    <w:p w:rsidR="00A047AB" w:rsidRDefault="00A047AB">
      <w:pPr>
        <w:spacing w:after="0" w:line="240" w:lineRule="auto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258" w:rsidRDefault="00E72258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10245728"/>
      <w:docPartObj>
        <w:docPartGallery w:val="Page Numbers (Top of Page)"/>
        <w:docPartUnique/>
      </w:docPartObj>
    </w:sdtPr>
    <w:sdtContent>
      <w:p w:rsidR="00E72258" w:rsidRDefault="00827D3E">
        <w:pPr>
          <w:pStyle w:val="a5"/>
          <w:jc w:val="center"/>
        </w:pPr>
        <w:r>
          <w:fldChar w:fldCharType="begin"/>
        </w:r>
        <w:r w:rsidR="00E72258">
          <w:instrText>PAGE   \* MERGEFORMAT</w:instrText>
        </w:r>
        <w:r>
          <w:fldChar w:fldCharType="separate"/>
        </w:r>
        <w:r w:rsidR="00B24F66">
          <w:rPr>
            <w:noProof/>
          </w:rPr>
          <w:t>3</w:t>
        </w:r>
        <w:r>
          <w:fldChar w:fldCharType="end"/>
        </w:r>
      </w:p>
    </w:sdtContent>
  </w:sdt>
  <w:p w:rsidR="00E72258" w:rsidRDefault="00E72258">
    <w:pPr>
      <w:pStyle w:val="a5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258" w:rsidRDefault="00E72258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savePreviewPicture/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CA5011"/>
    <w:rsid w:val="00015D15"/>
    <w:rsid w:val="00077C4C"/>
    <w:rsid w:val="000E623B"/>
    <w:rsid w:val="00126337"/>
    <w:rsid w:val="002131ED"/>
    <w:rsid w:val="00270859"/>
    <w:rsid w:val="003307D8"/>
    <w:rsid w:val="00361FAF"/>
    <w:rsid w:val="003F774B"/>
    <w:rsid w:val="00431FF6"/>
    <w:rsid w:val="00486034"/>
    <w:rsid w:val="0048787B"/>
    <w:rsid w:val="004C46D9"/>
    <w:rsid w:val="00546623"/>
    <w:rsid w:val="0057215E"/>
    <w:rsid w:val="005E4ABD"/>
    <w:rsid w:val="00616D7B"/>
    <w:rsid w:val="0062686E"/>
    <w:rsid w:val="00766EB0"/>
    <w:rsid w:val="007A451F"/>
    <w:rsid w:val="007E69AC"/>
    <w:rsid w:val="00827D3E"/>
    <w:rsid w:val="00880CEC"/>
    <w:rsid w:val="00881844"/>
    <w:rsid w:val="00890440"/>
    <w:rsid w:val="008A60E2"/>
    <w:rsid w:val="008D14A3"/>
    <w:rsid w:val="008D6F5A"/>
    <w:rsid w:val="009D22EF"/>
    <w:rsid w:val="009D6E48"/>
    <w:rsid w:val="00A01961"/>
    <w:rsid w:val="00A047AB"/>
    <w:rsid w:val="00A14871"/>
    <w:rsid w:val="00B24F66"/>
    <w:rsid w:val="00BC2A48"/>
    <w:rsid w:val="00BC7CB6"/>
    <w:rsid w:val="00CA5011"/>
    <w:rsid w:val="00DC710E"/>
    <w:rsid w:val="00E02EBF"/>
    <w:rsid w:val="00E10A95"/>
    <w:rsid w:val="00E72258"/>
    <w:rsid w:val="00F76E7C"/>
    <w:rsid w:val="00FE72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50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A501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CA5011"/>
    <w:pPr>
      <w:spacing w:after="0" w:line="240" w:lineRule="auto"/>
    </w:pPr>
  </w:style>
  <w:style w:type="paragraph" w:styleId="a5">
    <w:name w:val="header"/>
    <w:basedOn w:val="a"/>
    <w:link w:val="a6"/>
    <w:uiPriority w:val="99"/>
    <w:unhideWhenUsed/>
    <w:rsid w:val="00CA5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A5011"/>
  </w:style>
  <w:style w:type="paragraph" w:styleId="a7">
    <w:name w:val="footer"/>
    <w:basedOn w:val="a"/>
    <w:link w:val="a8"/>
    <w:uiPriority w:val="99"/>
    <w:unhideWhenUsed/>
    <w:rsid w:val="00CA501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A5011"/>
  </w:style>
  <w:style w:type="paragraph" w:styleId="a9">
    <w:name w:val="Revision"/>
    <w:hidden/>
    <w:uiPriority w:val="99"/>
    <w:semiHidden/>
    <w:rsid w:val="003307D8"/>
    <w:pPr>
      <w:spacing w:after="0" w:line="240" w:lineRule="auto"/>
    </w:pPr>
  </w:style>
  <w:style w:type="paragraph" w:styleId="aa">
    <w:name w:val="Balloon Text"/>
    <w:basedOn w:val="a"/>
    <w:link w:val="ab"/>
    <w:uiPriority w:val="99"/>
    <w:semiHidden/>
    <w:unhideWhenUsed/>
    <w:rsid w:val="003307D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b">
    <w:name w:val="Текст выноски Знак"/>
    <w:basedOn w:val="a0"/>
    <w:link w:val="aa"/>
    <w:uiPriority w:val="99"/>
    <w:semiHidden/>
    <w:rsid w:val="003307D8"/>
    <w:rPr>
      <w:rFonts w:ascii="Segoe UI" w:hAnsi="Segoe UI" w:cs="Segoe UI"/>
      <w:sz w:val="18"/>
      <w:szCs w:val="18"/>
    </w:rPr>
  </w:style>
  <w:style w:type="paragraph" w:customStyle="1" w:styleId="ac">
    <w:name w:val="Заголовки приложений"/>
    <w:basedOn w:val="a"/>
    <w:qFormat/>
    <w:rsid w:val="00270859"/>
    <w:pPr>
      <w:spacing w:after="0"/>
      <w:jc w:val="center"/>
    </w:pPr>
    <w:rPr>
      <w:rFonts w:ascii="Times New Roman" w:hAnsi="Times New Roman"/>
      <w:b/>
      <w:sz w:val="26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658</Words>
  <Characters>3754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Школа</cp:lastModifiedBy>
  <cp:revision>3</cp:revision>
  <dcterms:created xsi:type="dcterms:W3CDTF">2023-02-14T12:25:00Z</dcterms:created>
  <dcterms:modified xsi:type="dcterms:W3CDTF">2025-10-29T10:09:00Z</dcterms:modified>
  <dc:identifier/>
  <dc:language/>
</cp:coreProperties>
</file>